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0F71D" w14:textId="77777777" w:rsidR="003C1FC9" w:rsidRPr="00FC7A9E" w:rsidRDefault="003C1FC9" w:rsidP="003C1FC9">
      <w:pPr>
        <w:shd w:val="clear" w:color="auto" w:fill="FFFFFF"/>
        <w:rPr>
          <w:rFonts w:ascii="Times New Roman" w:eastAsia="Times New Roman" w:hAnsi="Times New Roman" w:cs="Times New Roman"/>
          <w:b/>
          <w:bCs/>
          <w:sz w:val="24"/>
          <w:szCs w:val="24"/>
        </w:rPr>
      </w:pPr>
      <w:proofErr w:type="gramStart"/>
      <w:r w:rsidRPr="00FC7A9E">
        <w:rPr>
          <w:rFonts w:ascii="Times New Roman" w:eastAsia="Times New Roman" w:hAnsi="Times New Roman" w:cs="Times New Roman"/>
          <w:b/>
          <w:bCs/>
          <w:sz w:val="24"/>
          <w:szCs w:val="24"/>
        </w:rPr>
        <w:t>Eksamensoppgaver  UiO</w:t>
      </w:r>
      <w:proofErr w:type="gramEnd"/>
      <w:r w:rsidRPr="00FC7A9E">
        <w:rPr>
          <w:rFonts w:ascii="Times New Roman" w:eastAsia="Times New Roman" w:hAnsi="Times New Roman" w:cs="Times New Roman"/>
          <w:b/>
          <w:bCs/>
          <w:sz w:val="24"/>
          <w:szCs w:val="24"/>
        </w:rPr>
        <w:t xml:space="preserve"> </w:t>
      </w:r>
    </w:p>
    <w:p w14:paraId="299C429B" w14:textId="54364130" w:rsidR="003C1FC9" w:rsidRPr="00FC7A9E" w:rsidRDefault="003C1FC9" w:rsidP="003C1FC9">
      <w:pPr>
        <w:shd w:val="clear" w:color="auto" w:fill="FFFFFF"/>
        <w:rPr>
          <w:rFonts w:ascii="Times New Roman" w:eastAsia="Times New Roman" w:hAnsi="Times New Roman" w:cs="Times New Roman"/>
          <w:sz w:val="24"/>
          <w:szCs w:val="24"/>
        </w:rPr>
      </w:pPr>
      <w:r w:rsidRPr="00FC7A9E">
        <w:rPr>
          <w:rFonts w:ascii="Times New Roman" w:eastAsia="Times New Roman" w:hAnsi="Times New Roman" w:cs="Times New Roman"/>
          <w:b/>
          <w:bCs/>
          <w:sz w:val="24"/>
          <w:szCs w:val="24"/>
        </w:rPr>
        <w:t xml:space="preserve">Helseledelse </w:t>
      </w:r>
      <w:r w:rsidR="00AC0C35">
        <w:rPr>
          <w:rFonts w:ascii="Times New Roman" w:eastAsia="Times New Roman" w:hAnsi="Times New Roman" w:cs="Times New Roman"/>
          <w:b/>
          <w:bCs/>
          <w:sz w:val="24"/>
          <w:szCs w:val="24"/>
        </w:rPr>
        <w:t>vår</w:t>
      </w:r>
      <w:r w:rsidRPr="00FC7A9E">
        <w:rPr>
          <w:rFonts w:ascii="Times New Roman" w:eastAsia="Times New Roman" w:hAnsi="Times New Roman" w:cs="Times New Roman"/>
          <w:b/>
          <w:bCs/>
          <w:sz w:val="24"/>
          <w:szCs w:val="24"/>
        </w:rPr>
        <w:t xml:space="preserve"> 202</w:t>
      </w:r>
      <w:r w:rsidR="00AC0C35">
        <w:rPr>
          <w:rFonts w:ascii="Times New Roman" w:eastAsia="Times New Roman" w:hAnsi="Times New Roman" w:cs="Times New Roman"/>
          <w:b/>
          <w:bCs/>
          <w:sz w:val="24"/>
          <w:szCs w:val="24"/>
        </w:rPr>
        <w:t>4</w:t>
      </w:r>
      <w:r w:rsidRPr="00FC7A9E">
        <w:rPr>
          <w:rStyle w:val="apple-converted-space"/>
          <w:rFonts w:ascii="Times New Roman" w:eastAsia="Times New Roman" w:hAnsi="Times New Roman" w:cs="Times New Roman"/>
          <w:b/>
          <w:bCs/>
          <w:sz w:val="24"/>
          <w:szCs w:val="24"/>
        </w:rPr>
        <w:t> </w:t>
      </w:r>
    </w:p>
    <w:p w14:paraId="6AB3EBC1" w14:textId="77777777" w:rsidR="003C1FC9" w:rsidRPr="00FC7A9E" w:rsidRDefault="003C1FC9" w:rsidP="003C1FC9">
      <w:pPr>
        <w:shd w:val="clear" w:color="auto" w:fill="FFFFFF"/>
        <w:rPr>
          <w:rFonts w:ascii="Times New Roman" w:eastAsia="Times New Roman" w:hAnsi="Times New Roman" w:cs="Times New Roman"/>
          <w:sz w:val="24"/>
          <w:szCs w:val="24"/>
        </w:rPr>
      </w:pPr>
    </w:p>
    <w:p w14:paraId="136834D7" w14:textId="77777777" w:rsidR="003C1FC9" w:rsidRPr="00FC7A9E" w:rsidRDefault="003C1FC9" w:rsidP="003C1FC9">
      <w:pPr>
        <w:shd w:val="clear" w:color="auto" w:fill="FFFFFF"/>
        <w:rPr>
          <w:rFonts w:ascii="Times New Roman" w:eastAsia="Times New Roman" w:hAnsi="Times New Roman" w:cs="Times New Roman"/>
          <w:sz w:val="24"/>
          <w:szCs w:val="24"/>
        </w:rPr>
      </w:pPr>
      <w:r w:rsidRPr="00FC7A9E">
        <w:rPr>
          <w:rFonts w:ascii="Times New Roman" w:eastAsia="Times New Roman" w:hAnsi="Times New Roman" w:cs="Times New Roman"/>
          <w:b/>
          <w:bCs/>
          <w:sz w:val="24"/>
          <w:szCs w:val="24"/>
        </w:rPr>
        <w:t>Oppgave 1</w:t>
      </w:r>
      <w:r w:rsidRPr="00FC7A9E">
        <w:rPr>
          <w:rStyle w:val="apple-converted-space"/>
          <w:rFonts w:ascii="Times New Roman" w:eastAsia="Times New Roman" w:hAnsi="Times New Roman" w:cs="Times New Roman"/>
          <w:sz w:val="24"/>
          <w:szCs w:val="24"/>
        </w:rPr>
        <w:t> </w:t>
      </w:r>
    </w:p>
    <w:p w14:paraId="1FBFDAE6" w14:textId="77777777" w:rsidR="003C1FC9" w:rsidRPr="00FC7A9E" w:rsidRDefault="003C1FC9" w:rsidP="003C1FC9">
      <w:pPr>
        <w:shd w:val="clear" w:color="auto" w:fill="FFFFFF"/>
        <w:rPr>
          <w:rFonts w:ascii="Times New Roman" w:eastAsia="Times New Roman" w:hAnsi="Times New Roman" w:cs="Times New Roman"/>
          <w:sz w:val="24"/>
          <w:szCs w:val="24"/>
        </w:rPr>
      </w:pPr>
    </w:p>
    <w:p w14:paraId="3E4C741E" w14:textId="77777777"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Hvem:</w:t>
      </w:r>
    </w:p>
    <w:p w14:paraId="1C5F38D2" w14:textId="37B1E289"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Angivelse av nærmeste pårørende er regulert i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1-3 bokstav b. Det er i stor grad tilstrekkelig å bare vise til bestemmelsen. En enkel redegjørelse kan ta utgangspunkt i at dette er (i) den pasienten utpeker, (ii) eventuelt de som listes opp i bestemmelsen, eller (iii) unntaksvis </w:t>
      </w:r>
      <w:proofErr w:type="gramStart"/>
      <w:r>
        <w:rPr>
          <w:rFonts w:ascii="Times New Roman" w:eastAsia="Times New Roman" w:hAnsi="Times New Roman" w:cs="Times New Roman"/>
          <w:sz w:val="24"/>
          <w:szCs w:val="24"/>
        </w:rPr>
        <w:t>«…den</w:t>
      </w:r>
      <w:proofErr w:type="gramEnd"/>
      <w:r>
        <w:rPr>
          <w:rFonts w:ascii="Times New Roman" w:eastAsia="Times New Roman" w:hAnsi="Times New Roman" w:cs="Times New Roman"/>
          <w:sz w:val="24"/>
          <w:szCs w:val="24"/>
        </w:rPr>
        <w:t xml:space="preserve"> som i størst utstrekning har hatt varig og løpende kontakt med pasienten…om ikke særlige grunner taler for det»</w:t>
      </w:r>
    </w:p>
    <w:p w14:paraId="63486CA8" w14:textId="77777777" w:rsidR="00A5031F" w:rsidRDefault="00A5031F" w:rsidP="003C1FC9">
      <w:pPr>
        <w:shd w:val="clear" w:color="auto" w:fill="FFFFFF"/>
        <w:rPr>
          <w:rFonts w:ascii="Times New Roman" w:eastAsia="Times New Roman" w:hAnsi="Times New Roman" w:cs="Times New Roman"/>
          <w:sz w:val="24"/>
          <w:szCs w:val="24"/>
        </w:rPr>
      </w:pPr>
    </w:p>
    <w:p w14:paraId="0FE8A87B" w14:textId="341ECF65"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Rett til informasjon og begrensningene:</w:t>
      </w:r>
    </w:p>
    <w:p w14:paraId="1E3D6546" w14:textId="6E12959A" w:rsidR="003C1FC9"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deretter naturlig å ta utgangspunkt i at dette er helseopplysninger som er underlagt taushetsplikt etter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21. De påfølgende unntakene kan deretter drøftes i valgfri rekkefølge. Det er ikke avgjørende at kandidaten ser alle mulige </w:t>
      </w:r>
      <w:proofErr w:type="spellStart"/>
      <w:r>
        <w:rPr>
          <w:rFonts w:ascii="Times New Roman" w:eastAsia="Times New Roman" w:hAnsi="Times New Roman" w:cs="Times New Roman"/>
          <w:sz w:val="24"/>
          <w:szCs w:val="24"/>
        </w:rPr>
        <w:t>unntaksgrunnlag</w:t>
      </w:r>
      <w:proofErr w:type="spellEnd"/>
      <w:r>
        <w:rPr>
          <w:rFonts w:ascii="Times New Roman" w:eastAsia="Times New Roman" w:hAnsi="Times New Roman" w:cs="Times New Roman"/>
          <w:sz w:val="24"/>
          <w:szCs w:val="24"/>
        </w:rPr>
        <w:t xml:space="preserve">, men det bør forventes at kandidaten har nevner at dette </w:t>
      </w:r>
      <w:proofErr w:type="spellStart"/>
      <w:r>
        <w:rPr>
          <w:rFonts w:ascii="Times New Roman" w:eastAsia="Times New Roman" w:hAnsi="Times New Roman" w:cs="Times New Roman"/>
          <w:sz w:val="24"/>
          <w:szCs w:val="24"/>
        </w:rPr>
        <w:t>katogorisk</w:t>
      </w:r>
      <w:proofErr w:type="spellEnd"/>
      <w:r>
        <w:rPr>
          <w:rFonts w:ascii="Times New Roman" w:eastAsia="Times New Roman" w:hAnsi="Times New Roman" w:cs="Times New Roman"/>
          <w:sz w:val="24"/>
          <w:szCs w:val="24"/>
        </w:rPr>
        <w:t xml:space="preserve"> gjerne kan skilles mellom rett til informasjon basert på samtykke (jfr.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22), eller rett til/krav på informasjon basert på et annet lovhjemlet unntak fra taushetsplikten. </w:t>
      </w:r>
    </w:p>
    <w:p w14:paraId="792594A5" w14:textId="77777777" w:rsidR="00A5031F" w:rsidRDefault="00A5031F" w:rsidP="003C1FC9">
      <w:pPr>
        <w:shd w:val="clear" w:color="auto" w:fill="FFFFFF"/>
        <w:rPr>
          <w:rFonts w:ascii="Times New Roman" w:eastAsia="Times New Roman" w:hAnsi="Times New Roman" w:cs="Times New Roman"/>
          <w:sz w:val="24"/>
          <w:szCs w:val="24"/>
        </w:rPr>
      </w:pPr>
    </w:p>
    <w:p w14:paraId="5B75942F" w14:textId="1D072126"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Flertallet av de øvrige unntakene for taushetsplikt i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omhandler i liten grad pårørende. Mindre sentral, men en aktuell bestemmelse her, kan være unntaket i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24 (opplysninger etter død). Det er lite relevant å drøfte videre fortolkninger av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23, </w:t>
      </w:r>
      <w:proofErr w:type="spellStart"/>
      <w:r>
        <w:rPr>
          <w:rFonts w:ascii="Times New Roman" w:eastAsia="Times New Roman" w:hAnsi="Times New Roman" w:cs="Times New Roman"/>
          <w:sz w:val="24"/>
          <w:szCs w:val="24"/>
        </w:rPr>
        <w:t>nr.</w:t>
      </w:r>
      <w:proofErr w:type="spellEnd"/>
      <w:r>
        <w:rPr>
          <w:rFonts w:ascii="Times New Roman" w:eastAsia="Times New Roman" w:hAnsi="Times New Roman" w:cs="Times New Roman"/>
          <w:sz w:val="24"/>
          <w:szCs w:val="24"/>
        </w:rPr>
        <w:t xml:space="preserve"> 1, 2 og 4 i denne anledning. </w:t>
      </w:r>
    </w:p>
    <w:p w14:paraId="75CC43EC" w14:textId="77777777" w:rsidR="00A5031F" w:rsidRDefault="00A5031F" w:rsidP="003C1FC9">
      <w:pPr>
        <w:shd w:val="clear" w:color="auto" w:fill="FFFFFF"/>
        <w:rPr>
          <w:rFonts w:ascii="Times New Roman" w:eastAsia="Times New Roman" w:hAnsi="Times New Roman" w:cs="Times New Roman"/>
          <w:sz w:val="24"/>
          <w:szCs w:val="24"/>
        </w:rPr>
      </w:pPr>
    </w:p>
    <w:p w14:paraId="24D0A5DB" w14:textId="38CA3A65"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Vesentlig mer relevant er unntakene som følger av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Hovedregelen er her inntatt i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3-3. § 3-3 første ledd baserer seg på et presumptivt samtykke. Andre ledd gir pårørende rett til informasjon der pasienten har mistet samtykkekompetanse (det er styrkende om kandidaten ser at ordlyden er direkte samsvarende med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4-3 annet ledd). Tredje ledd gir særlig rett til informasjon etter pasientens død, og det er styrkende om kandidaten har sett at denne bestemmelsen supplerer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 24.</w:t>
      </w:r>
    </w:p>
    <w:p w14:paraId="36D1FA96" w14:textId="77777777" w:rsidR="00A5031F" w:rsidRDefault="00A5031F" w:rsidP="003C1FC9">
      <w:pPr>
        <w:shd w:val="clear" w:color="auto" w:fill="FFFFFF"/>
        <w:rPr>
          <w:rFonts w:ascii="Times New Roman" w:eastAsia="Times New Roman" w:hAnsi="Times New Roman" w:cs="Times New Roman"/>
          <w:sz w:val="24"/>
          <w:szCs w:val="24"/>
        </w:rPr>
      </w:pPr>
    </w:p>
    <w:p w14:paraId="4D2F4D08" w14:textId="17F97EF0" w:rsidR="00A5031F" w:rsidRDefault="00A5031F" w:rsidP="003C1FC9">
      <w:pPr>
        <w:shd w:val="clear" w:color="auto" w:fill="FFFFFF"/>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3-4 gir videre rett til informasjon der pasienten er under 18 år. Her er bestemmelsen utformet som en rett til informasjon til foreldre, men det bør forventes at kandidaten ser at foreldre (de med foreldreansvar) og nærmeste pårørende her oftest vil være synonymt jfr.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 1-3. En god drøftelse vil her løfte opp de ulike unntakene som gir rett til å holde tilbake informasjon og plikt til å gi informasjon i §§ 3-4 annet ledd flg.</w:t>
      </w:r>
    </w:p>
    <w:p w14:paraId="3F8EF22D" w14:textId="77777777" w:rsidR="00A5031F" w:rsidRDefault="00A5031F" w:rsidP="003C1FC9">
      <w:pPr>
        <w:shd w:val="clear" w:color="auto" w:fill="FFFFFF"/>
        <w:rPr>
          <w:rFonts w:ascii="Times New Roman" w:eastAsia="Times New Roman" w:hAnsi="Times New Roman" w:cs="Times New Roman"/>
          <w:sz w:val="24"/>
          <w:szCs w:val="24"/>
        </w:rPr>
      </w:pPr>
    </w:p>
    <w:p w14:paraId="560D2F9A" w14:textId="6ABB0FF0"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videre en del regler som indirekte utløser krav på informasjon. Behandling av pasient uten samtykkekompetanse forutsetter innhenting av opplysninger om pasientens preferanser, jfr.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4-6 annet ledd og § 4A-5 fjerde ledd. Beslutning om manglende samtykkekompetanse og tvangsvedtak mot pasient uten samtykkekompetanse gir nærmeste pårørende rett informasjon og rett til å klage, jfr.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 4-3 fjerde ledd og 4A-7 flg. Analoge regler finnes for beslutninger i psykisk helsevern (</w:t>
      </w:r>
      <w:proofErr w:type="spellStart"/>
      <w:r>
        <w:rPr>
          <w:rFonts w:ascii="Times New Roman" w:eastAsia="Times New Roman" w:hAnsi="Times New Roman" w:cs="Times New Roman"/>
          <w:sz w:val="24"/>
          <w:szCs w:val="24"/>
        </w:rPr>
        <w:t>phvl</w:t>
      </w:r>
      <w:proofErr w:type="spellEnd"/>
      <w:r>
        <w:rPr>
          <w:rFonts w:ascii="Times New Roman" w:eastAsia="Times New Roman" w:hAnsi="Times New Roman" w:cs="Times New Roman"/>
          <w:sz w:val="24"/>
          <w:szCs w:val="24"/>
        </w:rPr>
        <w:t>. §§ 2-2, 3-3a fjerde ledd, 3-7, 3-9, 4-4a mfl.), og for kommunale helse og omsorgstjenester (hol. §§ 4-2a, 9-3 mfl.).</w:t>
      </w:r>
    </w:p>
    <w:p w14:paraId="54B89B95" w14:textId="77777777" w:rsidR="00A5031F" w:rsidRDefault="00A5031F" w:rsidP="003C1FC9">
      <w:pPr>
        <w:shd w:val="clear" w:color="auto" w:fill="FFFFFF"/>
        <w:rPr>
          <w:rFonts w:ascii="Times New Roman" w:eastAsia="Times New Roman" w:hAnsi="Times New Roman" w:cs="Times New Roman"/>
          <w:sz w:val="24"/>
          <w:szCs w:val="24"/>
        </w:rPr>
      </w:pPr>
    </w:p>
    <w:p w14:paraId="251EDB39" w14:textId="475F4819"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Indirekte opplysningsplikter/-retter kan oppstå i andre sammenhenger som i sin natur ofte vil være relevant for nærmeste pårørende, men som ikke er direkte utløst av status som nærmeste pårørende. Et eksempel kan være smittesporing ved seksuelt overførbare sykdommer, der dette kan være informasjon som bør formidles partner/ektefelle. Et annet eksempel kan være </w:t>
      </w:r>
      <w:r>
        <w:rPr>
          <w:rFonts w:ascii="Times New Roman" w:eastAsia="Times New Roman" w:hAnsi="Times New Roman" w:cs="Times New Roman"/>
          <w:sz w:val="24"/>
          <w:szCs w:val="24"/>
        </w:rPr>
        <w:lastRenderedPageBreak/>
        <w:t xml:space="preserve">omsorgsovertakelse fra en forelder grunnet sykdom hvor det er behov for å videreformidle informasjon til den andre forelder om forholdene. </w:t>
      </w:r>
    </w:p>
    <w:p w14:paraId="4A599909" w14:textId="77777777" w:rsidR="00A5031F" w:rsidRDefault="00A5031F" w:rsidP="003C1FC9">
      <w:pPr>
        <w:shd w:val="clear" w:color="auto" w:fill="FFFFFF"/>
        <w:rPr>
          <w:rFonts w:ascii="Times New Roman" w:eastAsia="Times New Roman" w:hAnsi="Times New Roman" w:cs="Times New Roman"/>
          <w:sz w:val="24"/>
          <w:szCs w:val="24"/>
        </w:rPr>
      </w:pPr>
    </w:p>
    <w:p w14:paraId="6E6123BC" w14:textId="73777F3F" w:rsidR="00A5031F" w:rsidRPr="00FC7A9E"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62FF5A" w14:textId="77777777" w:rsidR="003C1FC9" w:rsidRPr="00FC7A9E" w:rsidRDefault="003C1FC9" w:rsidP="003C1FC9">
      <w:pPr>
        <w:shd w:val="clear" w:color="auto" w:fill="FFFFFF"/>
        <w:rPr>
          <w:rFonts w:ascii="Times New Roman" w:eastAsia="Times New Roman" w:hAnsi="Times New Roman" w:cs="Times New Roman"/>
          <w:sz w:val="24"/>
          <w:szCs w:val="24"/>
        </w:rPr>
      </w:pPr>
    </w:p>
    <w:p w14:paraId="54EB0021" w14:textId="77777777" w:rsidR="003C1FC9" w:rsidRPr="00FC7A9E" w:rsidRDefault="003C1FC9" w:rsidP="003C1FC9">
      <w:pPr>
        <w:shd w:val="clear" w:color="auto" w:fill="FFFFFF"/>
        <w:rPr>
          <w:rFonts w:ascii="Times New Roman" w:eastAsia="Times New Roman" w:hAnsi="Times New Roman" w:cs="Times New Roman"/>
          <w:sz w:val="24"/>
          <w:szCs w:val="24"/>
        </w:rPr>
      </w:pPr>
      <w:r w:rsidRPr="00FC7A9E">
        <w:rPr>
          <w:rFonts w:ascii="Times New Roman" w:eastAsia="Times New Roman" w:hAnsi="Times New Roman" w:cs="Times New Roman"/>
          <w:b/>
          <w:bCs/>
          <w:sz w:val="24"/>
          <w:szCs w:val="24"/>
        </w:rPr>
        <w:t>Oppgave 2</w:t>
      </w:r>
      <w:r w:rsidRPr="00FC7A9E">
        <w:rPr>
          <w:rStyle w:val="apple-converted-space"/>
          <w:rFonts w:ascii="Times New Roman" w:eastAsia="Times New Roman" w:hAnsi="Times New Roman" w:cs="Times New Roman"/>
          <w:b/>
          <w:bCs/>
          <w:sz w:val="24"/>
          <w:szCs w:val="24"/>
        </w:rPr>
        <w:t> </w:t>
      </w:r>
    </w:p>
    <w:p w14:paraId="5670C30F" w14:textId="77777777" w:rsidR="003C1FC9" w:rsidRPr="00FC7A9E" w:rsidRDefault="003C1FC9" w:rsidP="003C1FC9">
      <w:pPr>
        <w:shd w:val="clear" w:color="auto" w:fill="FFFFFF"/>
        <w:rPr>
          <w:rFonts w:ascii="Times New Roman" w:eastAsia="Times New Roman" w:hAnsi="Times New Roman" w:cs="Times New Roman"/>
          <w:sz w:val="24"/>
          <w:szCs w:val="24"/>
        </w:rPr>
      </w:pPr>
    </w:p>
    <w:p w14:paraId="08CC6875" w14:textId="129F3246" w:rsidR="00AC0C35"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Oppgaven reiser i hovedsak spørsmål om krav på samtykke, og unntak fra dette kravet. </w:t>
      </w:r>
    </w:p>
    <w:p w14:paraId="5A2296C0" w14:textId="77777777" w:rsidR="00A5031F" w:rsidRDefault="00A5031F" w:rsidP="003C1FC9">
      <w:pPr>
        <w:shd w:val="clear" w:color="auto" w:fill="FFFFFF"/>
        <w:rPr>
          <w:rFonts w:ascii="Times New Roman" w:eastAsia="Times New Roman" w:hAnsi="Times New Roman" w:cs="Times New Roman"/>
          <w:sz w:val="24"/>
          <w:szCs w:val="24"/>
        </w:rPr>
      </w:pPr>
    </w:p>
    <w:p w14:paraId="387FF1B7" w14:textId="04F25463"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er naturlig å ta utgangspunkt i hovedregelen i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 4-1, som forutsetter informert samtykke for at det kan gis helsehjelp. Kandidaten bør deretter drøfte aktuelle unntak fra denne regelen.</w:t>
      </w:r>
    </w:p>
    <w:p w14:paraId="7ECE0FF7" w14:textId="77777777" w:rsidR="00A5031F" w:rsidRDefault="00A5031F" w:rsidP="003C1FC9">
      <w:pPr>
        <w:shd w:val="clear" w:color="auto" w:fill="FFFFFF"/>
        <w:rPr>
          <w:rFonts w:ascii="Times New Roman" w:eastAsia="Times New Roman" w:hAnsi="Times New Roman" w:cs="Times New Roman"/>
          <w:sz w:val="24"/>
          <w:szCs w:val="24"/>
        </w:rPr>
      </w:pPr>
    </w:p>
    <w:p w14:paraId="4796E402" w14:textId="0D2B4235"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Det er fint (men ingen nødvendighet) om kandidaten fremhever at unntaket må være tydelig hjemlet i tråd med legalitetsprinsippet.</w:t>
      </w:r>
    </w:p>
    <w:p w14:paraId="069A3EA5" w14:textId="77777777" w:rsidR="00A5031F" w:rsidRDefault="00A5031F" w:rsidP="003C1FC9">
      <w:pPr>
        <w:shd w:val="clear" w:color="auto" w:fill="FFFFFF"/>
        <w:rPr>
          <w:rFonts w:ascii="Times New Roman" w:eastAsia="Times New Roman" w:hAnsi="Times New Roman" w:cs="Times New Roman"/>
          <w:sz w:val="24"/>
          <w:szCs w:val="24"/>
        </w:rPr>
      </w:pPr>
    </w:p>
    <w:p w14:paraId="55E3EBA1" w14:textId="3730F1D9"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Kandidaten bør deretter se at det i hovedsak er to aktuelle unntak som kan drøftes. </w:t>
      </w:r>
    </w:p>
    <w:p w14:paraId="79F9194C" w14:textId="77777777" w:rsidR="00A5031F" w:rsidRDefault="00A5031F" w:rsidP="003C1FC9">
      <w:pPr>
        <w:shd w:val="clear" w:color="auto" w:fill="FFFFFF"/>
        <w:rPr>
          <w:rFonts w:ascii="Times New Roman" w:eastAsia="Times New Roman" w:hAnsi="Times New Roman" w:cs="Times New Roman"/>
          <w:sz w:val="24"/>
          <w:szCs w:val="24"/>
        </w:rPr>
      </w:pPr>
    </w:p>
    <w:p w14:paraId="6109403E" w14:textId="3223DDC3"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ene unntaket </w:t>
      </w:r>
      <w:proofErr w:type="gramStart"/>
      <w:r>
        <w:rPr>
          <w:rFonts w:ascii="Times New Roman" w:eastAsia="Times New Roman" w:hAnsi="Times New Roman" w:cs="Times New Roman"/>
          <w:sz w:val="24"/>
          <w:szCs w:val="24"/>
        </w:rPr>
        <w:t>fremgår</w:t>
      </w:r>
      <w:proofErr w:type="gramEnd"/>
      <w:r>
        <w:rPr>
          <w:rFonts w:ascii="Times New Roman" w:eastAsia="Times New Roman" w:hAnsi="Times New Roman" w:cs="Times New Roman"/>
          <w:sz w:val="24"/>
          <w:szCs w:val="24"/>
        </w:rPr>
        <w:t xml:space="preserve"> av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 7, og spørsmålet er o</w:t>
      </w:r>
      <w:proofErr w:type="spellStart"/>
      <w:r>
        <w:rPr>
          <w:rFonts w:ascii="Times New Roman" w:eastAsia="Times New Roman" w:hAnsi="Times New Roman" w:cs="Times New Roman"/>
          <w:sz w:val="24"/>
          <w:szCs w:val="24"/>
        </w:rPr>
        <w:t>m</w:t>
      </w:r>
      <w:proofErr w:type="spellEnd"/>
      <w:r>
        <w:rPr>
          <w:rFonts w:ascii="Times New Roman" w:eastAsia="Times New Roman" w:hAnsi="Times New Roman" w:cs="Times New Roman"/>
          <w:sz w:val="24"/>
          <w:szCs w:val="24"/>
        </w:rPr>
        <w:t xml:space="preserve"> dette er en øyeblikkelig hjelp-situasjon. Det er fint om kandidaten gir en kort vurdering av om dette er påtrengende nødvendig helsehjelp. Det kan gjerne vises til at det er lite informasjon i oppgaven, så et mer nærliggende spørsmål er om det er undersøkelsesplikt for avklaring av om det er påtrengende nødvendig, jfr.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7 annet ledd. En særs god drøftelse vil kunne ta opp spørsmålet av om bestemmelsen bør avgrenses mot autonome pasienter som med innsikt motsetter seg behandlingen, jfr. Oviedokonvensjonens tilsvarende bestemmelser i artikkel 5 og 8, </w:t>
      </w:r>
      <w:proofErr w:type="spellStart"/>
      <w:r>
        <w:rPr>
          <w:rFonts w:ascii="Times New Roman" w:eastAsia="Times New Roman" w:hAnsi="Times New Roman" w:cs="Times New Roman"/>
          <w:sz w:val="24"/>
          <w:szCs w:val="24"/>
        </w:rPr>
        <w:t>EMKs</w:t>
      </w:r>
      <w:proofErr w:type="spellEnd"/>
      <w:r>
        <w:rPr>
          <w:rFonts w:ascii="Times New Roman" w:eastAsia="Times New Roman" w:hAnsi="Times New Roman" w:cs="Times New Roman"/>
          <w:sz w:val="24"/>
          <w:szCs w:val="24"/>
        </w:rPr>
        <w:t xml:space="preserve"> generelle avgrensning mot bruk av tvang (og forbud mot inngrep) overfor kompetente pasienter (</w:t>
      </w:r>
      <w:proofErr w:type="spellStart"/>
      <w:r>
        <w:rPr>
          <w:rFonts w:ascii="Times New Roman" w:eastAsia="Times New Roman" w:hAnsi="Times New Roman" w:cs="Times New Roman"/>
          <w:sz w:val="24"/>
          <w:szCs w:val="24"/>
        </w:rPr>
        <w:t>EMK</w:t>
      </w:r>
      <w:proofErr w:type="spellEnd"/>
      <w:r>
        <w:rPr>
          <w:rFonts w:ascii="Times New Roman" w:eastAsia="Times New Roman" w:hAnsi="Times New Roman" w:cs="Times New Roman"/>
          <w:sz w:val="24"/>
          <w:szCs w:val="24"/>
        </w:rPr>
        <w:t xml:space="preserve"> artikkel 5) samt avveiningen mellom autonomi og plikten til å verne liv (</w:t>
      </w:r>
      <w:proofErr w:type="spellStart"/>
      <w:r>
        <w:rPr>
          <w:rFonts w:ascii="Times New Roman" w:eastAsia="Times New Roman" w:hAnsi="Times New Roman" w:cs="Times New Roman"/>
          <w:sz w:val="24"/>
          <w:szCs w:val="24"/>
        </w:rPr>
        <w:t>EMK</w:t>
      </w:r>
      <w:proofErr w:type="spellEnd"/>
      <w:r>
        <w:rPr>
          <w:rFonts w:ascii="Times New Roman" w:eastAsia="Times New Roman" w:hAnsi="Times New Roman" w:cs="Times New Roman"/>
          <w:sz w:val="24"/>
          <w:szCs w:val="24"/>
        </w:rPr>
        <w:t xml:space="preserve"> artikkel 2). </w:t>
      </w:r>
    </w:p>
    <w:p w14:paraId="2B9E3C5E" w14:textId="77777777" w:rsidR="00A5031F" w:rsidRDefault="00A5031F" w:rsidP="003C1FC9">
      <w:pPr>
        <w:shd w:val="clear" w:color="auto" w:fill="FFFFFF"/>
        <w:rPr>
          <w:rFonts w:ascii="Times New Roman" w:eastAsia="Times New Roman" w:hAnsi="Times New Roman" w:cs="Times New Roman"/>
          <w:sz w:val="24"/>
          <w:szCs w:val="24"/>
        </w:rPr>
      </w:pPr>
    </w:p>
    <w:p w14:paraId="483573A2" w14:textId="52869A0F" w:rsidR="00A5031F" w:rsidRDefault="00A5031F" w:rsidP="003C1FC9">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 andre unntaket </w:t>
      </w:r>
      <w:proofErr w:type="gramStart"/>
      <w:r>
        <w:rPr>
          <w:rFonts w:ascii="Times New Roman" w:eastAsia="Times New Roman" w:hAnsi="Times New Roman" w:cs="Times New Roman"/>
          <w:sz w:val="24"/>
          <w:szCs w:val="24"/>
        </w:rPr>
        <w:t>fremgår</w:t>
      </w:r>
      <w:proofErr w:type="gramEnd"/>
      <w:r>
        <w:rPr>
          <w:rFonts w:ascii="Times New Roman" w:eastAsia="Times New Roman" w:hAnsi="Times New Roman" w:cs="Times New Roman"/>
          <w:sz w:val="24"/>
          <w:szCs w:val="24"/>
        </w:rPr>
        <w:t xml:space="preserve"> av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w:t>
      </w:r>
      <w:proofErr w:type="spellEnd"/>
      <w:r>
        <w:rPr>
          <w:rFonts w:ascii="Times New Roman" w:eastAsia="Times New Roman" w:hAnsi="Times New Roman" w:cs="Times New Roman"/>
          <w:sz w:val="24"/>
          <w:szCs w:val="24"/>
        </w:rPr>
        <w:t xml:space="preserve"> 4A. Bestemmelsene forutsetter at pasienten mangler samtykkekompetanse etter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4-3 annet ledd. Oppgaven gir liten informasjon rundt Peders samtykkekompetanse her. Det bør imidlertid pekes på at vilkårene for bruk av tvang i stor grad forutsetter at behandlingen ikke går imot det pasienten ville ha ønsket (jfr.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 4a-3 og 4A-5 fjerde ledd). Oppgaven gir tydelige holdepunkter for at Peder ikke ønsket behandling, og det er derfor nærliggende å falle ned på at vilkårene for bruk av tvang ikke er oppfylt.  </w:t>
      </w:r>
    </w:p>
    <w:p w14:paraId="3E1538B1" w14:textId="77777777" w:rsidR="00A5031F" w:rsidRDefault="00A5031F" w:rsidP="003C1FC9">
      <w:pPr>
        <w:shd w:val="clear" w:color="auto" w:fill="FFFFFF"/>
        <w:rPr>
          <w:rFonts w:ascii="Times New Roman" w:eastAsia="Times New Roman" w:hAnsi="Times New Roman" w:cs="Times New Roman"/>
          <w:sz w:val="24"/>
          <w:szCs w:val="24"/>
        </w:rPr>
      </w:pPr>
    </w:p>
    <w:p w14:paraId="5D03E8B1" w14:textId="0C99C699" w:rsidR="00A5031F" w:rsidRPr="00A5031F" w:rsidRDefault="00A5031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Dersom kandidaten kommer til at det er mest nærliggende at Peder legges inn etter </w:t>
      </w:r>
      <w:proofErr w:type="spellStart"/>
      <w:r>
        <w:rPr>
          <w:rFonts w:ascii="Times New Roman" w:eastAsia="Times New Roman" w:hAnsi="Times New Roman" w:cs="Times New Roman"/>
          <w:sz w:val="24"/>
          <w:szCs w:val="24"/>
        </w:rPr>
        <w:t>hpl</w:t>
      </w:r>
      <w:proofErr w:type="spellEnd"/>
      <w:r>
        <w:rPr>
          <w:rFonts w:ascii="Times New Roman" w:eastAsia="Times New Roman" w:hAnsi="Times New Roman" w:cs="Times New Roman"/>
          <w:sz w:val="24"/>
          <w:szCs w:val="24"/>
        </w:rPr>
        <w:t xml:space="preserve">. § 7 vil dette være en ordinær behandlingsbeslutning som kun krever sedvanlig journalføring. Det alternative vedtaksgrunnlaget følger av </w:t>
      </w:r>
      <w:proofErr w:type="spellStart"/>
      <w:r>
        <w:rPr>
          <w:rFonts w:ascii="Times New Roman" w:eastAsia="Times New Roman" w:hAnsi="Times New Roman" w:cs="Times New Roman"/>
          <w:sz w:val="24"/>
          <w:szCs w:val="24"/>
        </w:rPr>
        <w:t>pbrl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kap</w:t>
      </w:r>
      <w:proofErr w:type="spellEnd"/>
      <w:r>
        <w:rPr>
          <w:rFonts w:ascii="Times New Roman" w:eastAsia="Times New Roman" w:hAnsi="Times New Roman" w:cs="Times New Roman"/>
          <w:sz w:val="24"/>
          <w:szCs w:val="24"/>
        </w:rPr>
        <w:t xml:space="preserve"> 4A. Det vil ikke være riktig å bruke vektaksreglene i </w:t>
      </w:r>
      <w:proofErr w:type="spellStart"/>
      <w:r>
        <w:rPr>
          <w:rFonts w:ascii="Times New Roman" w:eastAsia="Times New Roman" w:hAnsi="Times New Roman" w:cs="Times New Roman"/>
          <w:sz w:val="24"/>
          <w:szCs w:val="24"/>
        </w:rPr>
        <w:t>phvl</w:t>
      </w:r>
      <w:proofErr w:type="spellEnd"/>
      <w:r>
        <w:rPr>
          <w:rFonts w:ascii="Times New Roman" w:eastAsia="Times New Roman" w:hAnsi="Times New Roman" w:cs="Times New Roman"/>
          <w:sz w:val="24"/>
          <w:szCs w:val="24"/>
        </w:rPr>
        <w:t xml:space="preserve">., da dette gjelder behandling av psykiatriske lidelser og ikke somatisk behandling (kirurgi/bruddbehandling). </w:t>
      </w:r>
    </w:p>
    <w:sectPr w:rsidR="00A5031F" w:rsidRPr="00A503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FC9"/>
    <w:rsid w:val="003C1FC9"/>
    <w:rsid w:val="004E1997"/>
    <w:rsid w:val="009B3A5C"/>
    <w:rsid w:val="00A5031F"/>
    <w:rsid w:val="00AC0C35"/>
    <w:rsid w:val="00BE5FD7"/>
    <w:rsid w:val="00C3239C"/>
    <w:rsid w:val="00FC7A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53FC2"/>
  <w15:chartTrackingRefBased/>
  <w15:docId w15:val="{9A607316-7FF4-42F3-B156-BF4C0ECD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FC9"/>
    <w:pPr>
      <w:spacing w:after="0" w:line="240" w:lineRule="auto"/>
    </w:pPr>
    <w:rPr>
      <w:rFonts w:ascii="Calibri" w:hAnsi="Calibri" w:cs="Calibri"/>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apple-converted-space">
    <w:name w:val="apple-converted-space"/>
    <w:basedOn w:val="Standardskriftforavsnitt"/>
    <w:rsid w:val="003C1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269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900</Words>
  <Characters>4774</Characters>
  <Application>Microsoft Office Word</Application>
  <DocSecurity>0</DocSecurity>
  <Lines>39</Lines>
  <Paragraphs>11</Paragraphs>
  <ScaleCrop>false</ScaleCrop>
  <Company>HINN</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Bente Ohnstad</dc:creator>
  <cp:keywords/>
  <dc:description/>
  <cp:lastModifiedBy>Jørgen Dahlberg</cp:lastModifiedBy>
  <cp:revision>3</cp:revision>
  <dcterms:created xsi:type="dcterms:W3CDTF">2024-02-13T17:07:00Z</dcterms:created>
  <dcterms:modified xsi:type="dcterms:W3CDTF">2024-02-13T19:34:00Z</dcterms:modified>
</cp:coreProperties>
</file>